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47" w:rsidRPr="00F06221" w:rsidRDefault="004C61D8" w:rsidP="00B46DC0">
      <w:pPr>
        <w:pStyle w:val="a5"/>
        <w:ind w:left="420" w:firstLineChars="0" w:firstLine="0"/>
        <w:jc w:val="center"/>
        <w:rPr>
          <w:rFonts w:ascii="黑体" w:eastAsia="黑体"/>
          <w:sz w:val="30"/>
          <w:szCs w:val="30"/>
        </w:rPr>
      </w:pPr>
      <w:r w:rsidRPr="00F06221">
        <w:rPr>
          <w:rFonts w:ascii="黑体" w:eastAsia="黑体" w:hint="eastAsia"/>
          <w:sz w:val="30"/>
          <w:szCs w:val="30"/>
        </w:rPr>
        <w:t>人员异动资产交接</w:t>
      </w:r>
      <w:r w:rsidR="008515B1" w:rsidRPr="00F06221">
        <w:rPr>
          <w:rFonts w:ascii="黑体" w:eastAsia="黑体" w:hint="eastAsia"/>
          <w:sz w:val="30"/>
          <w:szCs w:val="30"/>
        </w:rPr>
        <w:t>管理</w:t>
      </w:r>
      <w:r w:rsidRPr="00F06221">
        <w:rPr>
          <w:rFonts w:ascii="黑体" w:eastAsia="黑体" w:hint="eastAsia"/>
          <w:sz w:val="30"/>
          <w:szCs w:val="30"/>
        </w:rPr>
        <w:t>流程</w:t>
      </w:r>
      <w:r w:rsidR="008515B1" w:rsidRPr="00F06221">
        <w:rPr>
          <w:rFonts w:ascii="黑体" w:eastAsia="黑体" w:hint="eastAsia"/>
          <w:sz w:val="30"/>
          <w:szCs w:val="30"/>
        </w:rPr>
        <w:t>图</w:t>
      </w:r>
    </w:p>
    <w:p w:rsidR="004C61D8" w:rsidRDefault="004C61D8" w:rsidP="004C61D8"/>
    <w:p w:rsidR="004C61D8" w:rsidRDefault="00D36AB9" w:rsidP="00B16B83">
      <w:pPr>
        <w:tabs>
          <w:tab w:val="center" w:pos="4153"/>
          <w:tab w:val="left" w:pos="5055"/>
        </w:tabs>
        <w:jc w:val="left"/>
      </w:pPr>
      <w:r>
        <w:rPr>
          <w:noProof/>
        </w:rPr>
        <w:pict>
          <v:group id="_x0000_s2082" style="position:absolute;margin-left:1in;margin-top:14.55pt;width:272.25pt;height:442.5pt;z-index:251683840" coordorigin="1770,2115" coordsize="5445,8850">
            <v:roundrect id="_x0000_s2051" style="position:absolute;left:1770;top:2115;width:2381;height:1247;v-text-anchor:middle" arcsize="10923f" strokeweight="1.5pt">
              <v:textbox style="mso-next-textbox:#_x0000_s2051">
                <w:txbxContent>
                  <w:p w:rsidR="004C61D8" w:rsidRPr="004B499A" w:rsidRDefault="004C61D8" w:rsidP="004B499A">
                    <w:pPr>
                      <w:jc w:val="left"/>
                      <w:rPr>
                        <w:rFonts w:ascii="仿宋_GB2312" w:eastAsia="仿宋_GB2312"/>
                      </w:rPr>
                    </w:pPr>
                    <w:r w:rsidRPr="004B499A">
                      <w:rPr>
                        <w:rFonts w:ascii="仿宋_GB2312" w:eastAsia="仿宋_GB2312" w:hint="eastAsia"/>
                      </w:rPr>
                      <w:t>退休、调出</w:t>
                    </w:r>
                    <w:r w:rsidR="004B499A">
                      <w:rPr>
                        <w:rFonts w:ascii="仿宋_GB2312" w:eastAsia="仿宋_GB2312" w:hint="eastAsia"/>
                      </w:rPr>
                      <w:t>学校</w:t>
                    </w:r>
                    <w:r w:rsidRPr="004B499A">
                      <w:rPr>
                        <w:rFonts w:ascii="仿宋_GB2312" w:eastAsia="仿宋_GB2312" w:hint="eastAsia"/>
                      </w:rPr>
                      <w:t>、出国</w:t>
                    </w:r>
                    <w:r w:rsidR="004B499A" w:rsidRPr="004B499A">
                      <w:rPr>
                        <w:rFonts w:ascii="仿宋_GB2312" w:eastAsia="仿宋_GB2312" w:hint="eastAsia"/>
                      </w:rPr>
                      <w:t>、停薪留职、辞职或校内岗位调整</w:t>
                    </w:r>
                    <w:r w:rsidR="004B499A">
                      <w:rPr>
                        <w:rFonts w:ascii="仿宋_GB2312" w:eastAsia="仿宋_GB2312" w:hint="eastAsia"/>
                      </w:rPr>
                      <w:t>人员</w:t>
                    </w:r>
                  </w:p>
                </w:txbxContent>
              </v:textbox>
            </v:roundrect>
            <v:roundrect id="_x0000_s2056" style="position:absolute;left:4834;top:2115;width:2381;height:1247;v-text-anchor:middle" arcsize="10923f" strokeweight="1.5pt">
              <v:textbox style="mso-next-textbox:#_x0000_s2056" inset=",1mm">
                <w:txbxContent>
                  <w:p w:rsidR="004B499A" w:rsidRDefault="004B499A" w:rsidP="004B499A">
                    <w:pPr>
                      <w:jc w:val="center"/>
                      <w:rPr>
                        <w:rFonts w:ascii="仿宋_GB2312" w:eastAsia="仿宋_GB2312"/>
                      </w:rPr>
                    </w:pPr>
                    <w:r>
                      <w:rPr>
                        <w:rFonts w:ascii="仿宋_GB2312" w:eastAsia="仿宋_GB2312" w:hint="eastAsia"/>
                      </w:rPr>
                      <w:t>经学校任命调动</w:t>
                    </w:r>
                  </w:p>
                  <w:p w:rsidR="004B499A" w:rsidRPr="004B499A" w:rsidRDefault="004B499A" w:rsidP="004B499A">
                    <w:pPr>
                      <w:jc w:val="center"/>
                      <w:rPr>
                        <w:rFonts w:ascii="仿宋_GB2312" w:eastAsia="仿宋_GB2312"/>
                      </w:rPr>
                    </w:pPr>
                    <w:r>
                      <w:rPr>
                        <w:rFonts w:ascii="仿宋_GB2312" w:eastAsia="仿宋_GB2312" w:hint="eastAsia"/>
                      </w:rPr>
                      <w:t>工作岗位的人员</w:t>
                    </w:r>
                  </w:p>
                </w:txbxContent>
              </v:textbox>
            </v:roundrect>
            <v:roundrect id="_x0000_s2059" style="position:absolute;left:3356;top:5377;width:2268;height:840;v-text-anchor:middle" arcsize="10923f" strokeweight="1.5pt">
              <v:textbox style="mso-next-textbox:#_x0000_s2059">
                <w:txbxContent>
                  <w:p w:rsidR="00A16920" w:rsidRDefault="00A16920" w:rsidP="00A16920">
                    <w:pPr>
                      <w:jc w:val="center"/>
                      <w:rPr>
                        <w:rFonts w:ascii="仿宋_GB2312" w:eastAsia="仿宋_GB2312"/>
                      </w:rPr>
                    </w:pPr>
                    <w:r>
                      <w:rPr>
                        <w:rFonts w:ascii="仿宋_GB2312" w:eastAsia="仿宋_GB2312" w:hint="eastAsia"/>
                      </w:rPr>
                      <w:t>开具</w:t>
                    </w:r>
                    <w:proofErr w:type="gramStart"/>
                    <w:r>
                      <w:rPr>
                        <w:rFonts w:ascii="仿宋_GB2312" w:eastAsia="仿宋_GB2312" w:hint="eastAsia"/>
                      </w:rPr>
                      <w:t>《</w:t>
                    </w:r>
                    <w:proofErr w:type="gramEnd"/>
                    <w:r>
                      <w:rPr>
                        <w:rFonts w:ascii="仿宋_GB2312" w:eastAsia="仿宋_GB2312" w:hint="eastAsia"/>
                      </w:rPr>
                      <w:t>湖南师范大学</w:t>
                    </w:r>
                  </w:p>
                  <w:p w:rsidR="00A16920" w:rsidRPr="004B499A" w:rsidRDefault="00A16920" w:rsidP="00A16920">
                    <w:pPr>
                      <w:jc w:val="center"/>
                      <w:rPr>
                        <w:rFonts w:ascii="仿宋_GB2312" w:eastAsia="仿宋_GB2312"/>
                      </w:rPr>
                    </w:pPr>
                    <w:r>
                      <w:rPr>
                        <w:rFonts w:ascii="仿宋_GB2312" w:eastAsia="仿宋_GB2312" w:hint="eastAsia"/>
                      </w:rPr>
                      <w:t>资产交接证明》</w:t>
                    </w:r>
                  </w:p>
                </w:txbxContent>
              </v:textbox>
            </v:roundrect>
            <v:roundrect id="_x0000_s2060" style="position:absolute;left:3356;top:4020;width:2268;height:840;v-text-anchor:middle" arcsize="10923f" strokeweight="1.5pt">
              <v:textbox style="mso-next-textbox:#_x0000_s2060">
                <w:txbxContent>
                  <w:p w:rsidR="00A16920" w:rsidRDefault="00A16920" w:rsidP="00A16920">
                    <w:pPr>
                      <w:jc w:val="center"/>
                      <w:rPr>
                        <w:rFonts w:ascii="仿宋_GB2312" w:eastAsia="仿宋_GB2312"/>
                      </w:rPr>
                    </w:pPr>
                    <w:r>
                      <w:rPr>
                        <w:rFonts w:ascii="仿宋_GB2312" w:eastAsia="仿宋_GB2312" w:hint="eastAsia"/>
                      </w:rPr>
                      <w:t>原所在二级单位</w:t>
                    </w:r>
                  </w:p>
                  <w:p w:rsidR="00A16920" w:rsidRPr="004B499A" w:rsidRDefault="00A16920" w:rsidP="00A16920">
                    <w:pPr>
                      <w:jc w:val="center"/>
                      <w:rPr>
                        <w:rFonts w:ascii="仿宋_GB2312" w:eastAsia="仿宋_GB2312"/>
                      </w:rPr>
                    </w:pPr>
                    <w:r>
                      <w:rPr>
                        <w:rFonts w:ascii="仿宋_GB2312" w:eastAsia="仿宋_GB2312" w:hint="eastAsia"/>
                      </w:rPr>
                      <w:t>办理资产交接手续</w:t>
                    </w:r>
                  </w:p>
                </w:txbxContent>
              </v:textbox>
            </v:roundrect>
            <v:roundrect id="_x0000_s2061" style="position:absolute;left:3356;top:6735;width:2268;height:1560;v-text-anchor:middle" arcsize="10923f" strokeweight="1.5pt">
              <v:textbox style="mso-next-textbox:#_x0000_s2061">
                <w:txbxContent>
                  <w:p w:rsidR="003D3FB2" w:rsidRDefault="00A16920" w:rsidP="003D3FB2">
                    <w:pPr>
                      <w:jc w:val="center"/>
                      <w:rPr>
                        <w:rFonts w:ascii="仿宋_GB2312" w:eastAsia="仿宋_GB2312"/>
                      </w:rPr>
                    </w:pPr>
                    <w:r>
                      <w:rPr>
                        <w:rFonts w:ascii="仿宋_GB2312" w:eastAsia="仿宋_GB2312" w:hint="eastAsia"/>
                      </w:rPr>
                      <w:t>固定资产管理处完成资产变更手续，</w:t>
                    </w:r>
                    <w:r w:rsidR="003D3FB2">
                      <w:rPr>
                        <w:rFonts w:ascii="仿宋_GB2312" w:eastAsia="仿宋_GB2312" w:hint="eastAsia"/>
                      </w:rPr>
                      <w:t>开具</w:t>
                    </w:r>
                    <w:proofErr w:type="gramStart"/>
                    <w:r w:rsidR="003D3FB2">
                      <w:rPr>
                        <w:rFonts w:ascii="仿宋_GB2312" w:eastAsia="仿宋_GB2312" w:hint="eastAsia"/>
                      </w:rPr>
                      <w:t>《</w:t>
                    </w:r>
                    <w:proofErr w:type="gramEnd"/>
                    <w:r w:rsidR="003D3FB2">
                      <w:rPr>
                        <w:rFonts w:ascii="仿宋_GB2312" w:eastAsia="仿宋_GB2312" w:hint="eastAsia"/>
                      </w:rPr>
                      <w:t>湖南师范大学</w:t>
                    </w:r>
                  </w:p>
                  <w:p w:rsidR="00A16920" w:rsidRPr="004B499A" w:rsidRDefault="003D3FB2" w:rsidP="003D3FB2">
                    <w:pPr>
                      <w:jc w:val="center"/>
                      <w:rPr>
                        <w:rFonts w:ascii="仿宋_GB2312" w:eastAsia="仿宋_GB2312"/>
                      </w:rPr>
                    </w:pPr>
                    <w:r>
                      <w:rPr>
                        <w:rFonts w:ascii="仿宋_GB2312" w:eastAsia="仿宋_GB2312" w:hint="eastAsia"/>
                      </w:rPr>
                      <w:t>资产交接证明》</w:t>
                    </w:r>
                  </w:p>
                </w:txbxContent>
              </v:textbox>
            </v:roundrect>
            <v:roundrect id="_x0000_s2062" style="position:absolute;left:1770;top:8923;width:2381;height:567;v-text-anchor:middle" arcsize="10923f" strokeweight="1.5pt">
              <v:textbox style="mso-next-textbox:#_x0000_s2062">
                <w:txbxContent>
                  <w:p w:rsidR="003D3FB2" w:rsidRPr="004B499A" w:rsidRDefault="003D3FB2" w:rsidP="003D3FB2">
                    <w:pPr>
                      <w:jc w:val="center"/>
                      <w:rPr>
                        <w:rFonts w:ascii="仿宋_GB2312" w:eastAsia="仿宋_GB2312"/>
                      </w:rPr>
                    </w:pPr>
                    <w:r>
                      <w:rPr>
                        <w:rFonts w:ascii="仿宋_GB2312" w:eastAsia="仿宋_GB2312" w:hint="eastAsia"/>
                      </w:rPr>
                      <w:t>人事处办理相关手续</w:t>
                    </w:r>
                  </w:p>
                </w:txbxContent>
              </v:textbox>
            </v:roundrect>
            <v:roundrect id="_x0000_s2064" style="position:absolute;left:4834;top:8923;width:2381;height:567;v-text-anchor:middle" arcsize="10923f" strokeweight="1.5pt">
              <v:textbox style="mso-next-textbox:#_x0000_s2064">
                <w:txbxContent>
                  <w:p w:rsidR="003D3FB2" w:rsidRPr="004B499A" w:rsidRDefault="003D3FB2" w:rsidP="003D3FB2">
                    <w:pPr>
                      <w:jc w:val="center"/>
                      <w:rPr>
                        <w:rFonts w:ascii="仿宋_GB2312" w:eastAsia="仿宋_GB2312"/>
                      </w:rPr>
                    </w:pPr>
                    <w:r>
                      <w:rPr>
                        <w:rFonts w:ascii="仿宋_GB2312" w:eastAsia="仿宋_GB2312" w:hint="eastAsia"/>
                      </w:rPr>
                      <w:t>组织部办理相关手续</w:t>
                    </w:r>
                  </w:p>
                </w:txbxContent>
              </v:textbox>
            </v:roundrect>
            <v:roundrect id="_x0000_s2065" style="position:absolute;left:3356;top:10125;width:2268;height:840;v-text-anchor:middle" arcsize="10923f" strokeweight="1.5pt">
              <v:textbox style="mso-next-textbox:#_x0000_s2065" inset=",4mm">
                <w:txbxContent>
                  <w:p w:rsidR="003D3FB2" w:rsidRPr="004B499A" w:rsidRDefault="003D3FB2" w:rsidP="00A16920">
                    <w:pPr>
                      <w:jc w:val="center"/>
                      <w:rPr>
                        <w:rFonts w:ascii="仿宋_GB2312" w:eastAsia="仿宋_GB2312"/>
                      </w:rPr>
                    </w:pPr>
                    <w:r>
                      <w:rPr>
                        <w:rFonts w:ascii="仿宋_GB2312" w:eastAsia="仿宋_GB2312" w:hint="eastAsia"/>
                      </w:rPr>
                      <w:t>人员异动</w:t>
                    </w:r>
                  </w:p>
                </w:txbxContent>
              </v:textbox>
            </v:roundrect>
            <v:shapetype id="_x0000_t32" coordsize="21600,21600" o:spt="32" o:oned="t" path="m,l21600,21600e" filled="f">
              <v:path arrowok="t" fillok="f" o:connecttype="none"/>
              <o:lock v:ext="edit" shapetype="t"/>
            </v:shapetype>
            <v:shape id="_x0000_s2067" type="#_x0000_t32" style="position:absolute;left:2955;top:3362;width:0;height:283;v-text-anchor:middle" o:connectortype="straight" strokeweight="1.5pt"/>
            <v:shape id="_x0000_s2068" type="#_x0000_t32" style="position:absolute;left:6030;top:3362;width:0;height:283;v-text-anchor:middle" o:connectortype="straight" strokeweight="1.5pt"/>
            <v:shape id="_x0000_s2069" type="#_x0000_t32" style="position:absolute;left:2940;top:3645;width:3090;height:0;v-text-anchor:middle" o:connectortype="straight" strokeweight="1.5pt"/>
            <v:shape id="_x0000_s2070" type="#_x0000_t32" style="position:absolute;left:4488;top:3645;width:0;height:375;v-text-anchor:middle" o:connectortype="straight" strokeweight="1.25pt">
              <v:stroke endarrow="block" endarrowwidth="narrow" endarrowlength="long"/>
            </v:shape>
            <v:shape id="_x0000_s2071" type="#_x0000_t32" style="position:absolute;left:4483;top:4860;width:5;height:517;flip:x;v-text-anchor:middle" o:connectortype="straight" strokeweight="1.25pt">
              <v:stroke endarrow="block" endarrowwidth="narrow" endarrowlength="long"/>
            </v:shape>
            <v:shape id="_x0000_s2072" type="#_x0000_t32" style="position:absolute;left:4488;top:6218;width:5;height:517;flip:x;v-text-anchor:middle" o:connectortype="straight" strokeweight="1.25pt">
              <v:stroke endarrow="block" endarrowwidth="narrow" endarrowlength="long"/>
            </v:shape>
            <v:shape id="_x0000_s2073" type="#_x0000_t32" style="position:absolute;left:2955;top:8563;width:0;height:375;v-text-anchor:middle" o:connectortype="straight" strokeweight="1.25pt">
              <v:stroke endarrow="block" endarrowwidth="narrow" endarrowlength="long"/>
            </v:shape>
            <v:shape id="_x0000_s2074" type="#_x0000_t32" style="position:absolute;left:6030;top:8548;width:0;height:375;v-text-anchor:middle" o:connectortype="straight" strokeweight="1.25pt">
              <v:stroke endarrow="block" endarrowwidth="narrow" endarrowlength="long"/>
            </v:shape>
            <v:shape id="_x0000_s2075" type="#_x0000_t32" style="position:absolute;left:2940;top:8548;width:3090;height:0;v-text-anchor:middle" o:connectortype="straight" strokeweight="1.5pt"/>
            <v:shape id="_x0000_s2076" type="#_x0000_t32" style="position:absolute;left:4508;top:8280;width:0;height:283;v-text-anchor:middle" o:connectortype="straight" strokeweight="1.5pt"/>
            <v:shape id="_x0000_s2077" type="#_x0000_t32" style="position:absolute;left:2950;top:9497;width:0;height:283;v-text-anchor:middle" o:connectortype="straight" strokeweight="1.5pt"/>
            <v:shape id="_x0000_s2078" type="#_x0000_t32" style="position:absolute;left:6025;top:9497;width:0;height:283;v-text-anchor:middle" o:connectortype="straight" strokeweight="1.5pt"/>
            <v:shape id="_x0000_s2079" type="#_x0000_t32" style="position:absolute;left:2935;top:9780;width:3090;height:0;v-text-anchor:middle" o:connectortype="straight" strokeweight="1.5pt"/>
            <v:shape id="_x0000_s2080" type="#_x0000_t32" style="position:absolute;left:4483;top:9780;width:0;height:375;v-text-anchor:middle" o:connectortype="straight" strokeweight="1.25pt">
              <v:stroke endarrow="block" endarrowwidth="narrow" endarrowlength="long"/>
            </v:shape>
          </v:group>
        </w:pict>
      </w:r>
      <w:r w:rsidR="00B16B83">
        <w:tab/>
      </w:r>
      <w:r w:rsidR="00B16B83">
        <w:tab/>
      </w:r>
    </w:p>
    <w:p w:rsidR="004C61D8" w:rsidRDefault="004C61D8" w:rsidP="004C61D8"/>
    <w:p w:rsidR="004C61D8" w:rsidRDefault="004C61D8" w:rsidP="004C61D8"/>
    <w:p w:rsidR="004C61D8" w:rsidRDefault="004C61D8" w:rsidP="004C61D8"/>
    <w:p w:rsidR="004C61D8" w:rsidRDefault="00D36AB9" w:rsidP="004C61D8">
      <w:r>
        <w:rPr>
          <w:noProof/>
        </w:rPr>
        <w:pict>
          <v:shape id="_x0000_s2066" type="#_x0000_t32" style="position:absolute;left:0;text-align:left;margin-left:53.25pt;margin-top:2.5pt;width:0;height:0;z-index:251668480" o:connectortype="straight"/>
        </w:pict>
      </w:r>
    </w:p>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4C61D8" w:rsidP="004C61D8"/>
    <w:p w:rsidR="004C61D8" w:rsidRDefault="003D3FB2" w:rsidP="003D3FB2">
      <w:pPr>
        <w:tabs>
          <w:tab w:val="left" w:pos="2835"/>
        </w:tabs>
      </w:pPr>
      <w:r>
        <w:tab/>
      </w:r>
    </w:p>
    <w:p w:rsidR="003D3FB2" w:rsidRDefault="003D3FB2" w:rsidP="004C61D8"/>
    <w:p w:rsidR="003D3FB2" w:rsidRDefault="003D3FB2" w:rsidP="004C61D8"/>
    <w:p w:rsidR="003D3FB2" w:rsidRDefault="003D3FB2" w:rsidP="004C61D8"/>
    <w:p w:rsidR="003D3FB2" w:rsidRDefault="003D3FB2" w:rsidP="004C61D8"/>
    <w:p w:rsidR="003D3FB2" w:rsidRDefault="003D3FB2" w:rsidP="004C61D8"/>
    <w:p w:rsidR="003D3FB2" w:rsidRDefault="003D3FB2" w:rsidP="004C61D8"/>
    <w:p w:rsidR="003D3FB2" w:rsidRDefault="003D3FB2" w:rsidP="004C61D8"/>
    <w:p w:rsidR="003D3FB2" w:rsidRPr="002538DD" w:rsidRDefault="002538DD" w:rsidP="002538DD">
      <w:pPr>
        <w:adjustRightInd w:val="0"/>
        <w:snapToGrid w:val="0"/>
        <w:spacing w:line="440" w:lineRule="exact"/>
        <w:rPr>
          <w:rFonts w:ascii="黑体" w:eastAsia="黑体" w:hint="eastAsia"/>
          <w:sz w:val="28"/>
          <w:szCs w:val="28"/>
        </w:rPr>
      </w:pPr>
      <w:r w:rsidRPr="002538DD">
        <w:rPr>
          <w:rFonts w:ascii="黑体" w:eastAsia="黑体" w:hint="eastAsia"/>
          <w:sz w:val="28"/>
          <w:szCs w:val="28"/>
        </w:rPr>
        <w:t>注：</w:t>
      </w:r>
      <w:r w:rsidRPr="002538DD">
        <w:rPr>
          <w:rFonts w:eastAsia="仿宋_GB2312" w:hint="eastAsia"/>
          <w:sz w:val="28"/>
          <w:szCs w:val="28"/>
        </w:rPr>
        <w:t>自动离职、因病长期休养（两年以上）以及在岗死亡等人员的资产由所在单位资产分管领导和资产管理员负责催还，并及时向固定资产管理处通报情况，完成资产变更手续。</w:t>
      </w:r>
    </w:p>
    <w:p w:rsidR="003D3FB2" w:rsidRDefault="003D3FB2" w:rsidP="004C61D8"/>
    <w:p w:rsidR="003D3FB2" w:rsidRDefault="003D3FB2" w:rsidP="004C61D8"/>
    <w:p w:rsidR="0002774D" w:rsidRPr="00FE6D47" w:rsidRDefault="0002774D" w:rsidP="00B16B83">
      <w:pPr>
        <w:rPr>
          <w:rFonts w:asciiTheme="majorEastAsia" w:eastAsiaTheme="majorEastAsia" w:hAnsiTheme="majorEastAsia"/>
          <w:szCs w:val="21"/>
        </w:rPr>
      </w:pPr>
    </w:p>
    <w:sectPr w:rsidR="0002774D" w:rsidRPr="00FE6D47" w:rsidSect="000B55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443" w:rsidRDefault="00180443" w:rsidP="004C61D8">
      <w:r>
        <w:separator/>
      </w:r>
    </w:p>
  </w:endnote>
  <w:endnote w:type="continuationSeparator" w:id="0">
    <w:p w:rsidR="00180443" w:rsidRDefault="00180443" w:rsidP="004C6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443" w:rsidRDefault="00180443" w:rsidP="004C61D8">
      <w:r>
        <w:separator/>
      </w:r>
    </w:p>
  </w:footnote>
  <w:footnote w:type="continuationSeparator" w:id="0">
    <w:p w:rsidR="00180443" w:rsidRDefault="00180443" w:rsidP="004C61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66E9D"/>
    <w:multiLevelType w:val="hybridMultilevel"/>
    <w:tmpl w:val="368AC1EE"/>
    <w:lvl w:ilvl="0" w:tplc="55FABE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61D8"/>
    <w:rsid w:val="0002774D"/>
    <w:rsid w:val="000B5547"/>
    <w:rsid w:val="0012600D"/>
    <w:rsid w:val="00180443"/>
    <w:rsid w:val="001971A8"/>
    <w:rsid w:val="001A0FDD"/>
    <w:rsid w:val="001A6FF0"/>
    <w:rsid w:val="002538DD"/>
    <w:rsid w:val="003A2CEA"/>
    <w:rsid w:val="003D3FB2"/>
    <w:rsid w:val="0041624E"/>
    <w:rsid w:val="004B499A"/>
    <w:rsid w:val="004C61D8"/>
    <w:rsid w:val="00536AF2"/>
    <w:rsid w:val="00545D61"/>
    <w:rsid w:val="005F2032"/>
    <w:rsid w:val="006B5F0E"/>
    <w:rsid w:val="00795BC2"/>
    <w:rsid w:val="008515B1"/>
    <w:rsid w:val="0088091F"/>
    <w:rsid w:val="008C0107"/>
    <w:rsid w:val="009C562B"/>
    <w:rsid w:val="00A16920"/>
    <w:rsid w:val="00A877CB"/>
    <w:rsid w:val="00AF4D7E"/>
    <w:rsid w:val="00B16B83"/>
    <w:rsid w:val="00B46DC0"/>
    <w:rsid w:val="00B61C84"/>
    <w:rsid w:val="00B74D59"/>
    <w:rsid w:val="00BD3F30"/>
    <w:rsid w:val="00C4691F"/>
    <w:rsid w:val="00C77DB7"/>
    <w:rsid w:val="00D36AB9"/>
    <w:rsid w:val="00D54D3E"/>
    <w:rsid w:val="00D55A97"/>
    <w:rsid w:val="00D777F3"/>
    <w:rsid w:val="00DA30D3"/>
    <w:rsid w:val="00DE5CC1"/>
    <w:rsid w:val="00E54EF3"/>
    <w:rsid w:val="00E94422"/>
    <w:rsid w:val="00EE0A8C"/>
    <w:rsid w:val="00EF023A"/>
    <w:rsid w:val="00F06221"/>
    <w:rsid w:val="00FE6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2"/>
      <o:rules v:ext="edit">
        <o:r id="V:Rule16" type="connector" idref="#_x0000_s2077"/>
        <o:r id="V:Rule17" type="connector" idref="#_x0000_s2070"/>
        <o:r id="V:Rule18" type="connector" idref="#_x0000_s2075"/>
        <o:r id="V:Rule19" type="connector" idref="#_x0000_s2068"/>
        <o:r id="V:Rule20" type="connector" idref="#_x0000_s2080"/>
        <o:r id="V:Rule21" type="connector" idref="#_x0000_s2069"/>
        <o:r id="V:Rule22" type="connector" idref="#_x0000_s2079"/>
        <o:r id="V:Rule23" type="connector" idref="#_x0000_s2074"/>
        <o:r id="V:Rule24" type="connector" idref="#_x0000_s2072"/>
        <o:r id="V:Rule25" type="connector" idref="#_x0000_s2078"/>
        <o:r id="V:Rule26" type="connector" idref="#_x0000_s2076"/>
        <o:r id="V:Rule27" type="connector" idref="#_x0000_s2073"/>
        <o:r id="V:Rule28" type="connector" idref="#_x0000_s2067"/>
        <o:r id="V:Rule29" type="connector" idref="#_x0000_s2071"/>
        <o:r id="V:Rule30" type="connector" idref="#_x0000_s2066"/>
      </o:rules>
      <o:regrouptable v:ext="edit">
        <o:entry new="1" old="0"/>
        <o:entry new="2" old="0"/>
        <o:entry new="3" old="0"/>
        <o:entry new="4" old="0"/>
        <o:entry new="5" old="0"/>
        <o:entry new="6" old="5"/>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61D8"/>
    <w:rPr>
      <w:sz w:val="18"/>
      <w:szCs w:val="18"/>
    </w:rPr>
  </w:style>
  <w:style w:type="paragraph" w:styleId="a4">
    <w:name w:val="footer"/>
    <w:basedOn w:val="a"/>
    <w:link w:val="Char0"/>
    <w:uiPriority w:val="99"/>
    <w:semiHidden/>
    <w:unhideWhenUsed/>
    <w:rsid w:val="004C61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61D8"/>
    <w:rPr>
      <w:sz w:val="18"/>
      <w:szCs w:val="18"/>
    </w:rPr>
  </w:style>
  <w:style w:type="paragraph" w:styleId="a5">
    <w:name w:val="List Paragraph"/>
    <w:basedOn w:val="a"/>
    <w:uiPriority w:val="34"/>
    <w:qFormat/>
    <w:rsid w:val="004C61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Words>
  <Characters>116</Characters>
  <Application>Microsoft Office Word</Application>
  <DocSecurity>0</DocSecurity>
  <Lines>1</Lines>
  <Paragraphs>1</Paragraphs>
  <ScaleCrop>false</ScaleCrop>
  <Company>微软中国</Company>
  <LinksUpToDate>false</LinksUpToDate>
  <CharactersWithSpaces>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2013-11-13T05:11:00Z</cp:lastPrinted>
  <dcterms:created xsi:type="dcterms:W3CDTF">2013-11-25T09:08:00Z</dcterms:created>
  <dcterms:modified xsi:type="dcterms:W3CDTF">2013-11-25T09:16:00Z</dcterms:modified>
</cp:coreProperties>
</file>